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0B9F1C49" w:rsidR="000C1059" w:rsidRDefault="00BD5855" w:rsidP="00DD2578">
      <w:pPr>
        <w:pStyle w:val="berschrift2"/>
      </w:pPr>
      <w:r w:rsidRPr="00DD2578">
        <w:t>Con</w:t>
      </w:r>
      <w:r w:rsidR="002E0959" w:rsidRPr="00DD2578">
        <w:t>Clip</w:t>
      </w:r>
      <w:r w:rsidR="0027037A" w:rsidRPr="00DD2578">
        <w:t xml:space="preserve"> </w:t>
      </w:r>
      <w:r w:rsidR="00EC7993">
        <w:t>6</w:t>
      </w:r>
      <w:r w:rsidR="002E0959" w:rsidRPr="00DD2578">
        <w:t xml:space="preserve"> • </w:t>
      </w:r>
      <w:r w:rsidR="007C3B04" w:rsidRPr="007C3B04">
        <w:t>Airtightness</w:t>
      </w:r>
      <w:r w:rsidR="001E2BF5" w:rsidRPr="00DD2578">
        <w:t>:</w:t>
      </w:r>
      <w:r w:rsidR="007C3B04">
        <w:t xml:space="preserve"> </w:t>
      </w:r>
      <w:r w:rsidR="00A203A6">
        <w:br/>
      </w:r>
      <w:r w:rsidR="00EC7993">
        <w:t>S</w:t>
      </w:r>
      <w:r w:rsidR="00EC7993" w:rsidRPr="00EC7993">
        <w:t xml:space="preserve">ealing of </w:t>
      </w:r>
      <w:r w:rsidR="00EC7993">
        <w:t>T</w:t>
      </w:r>
      <w:r w:rsidR="00EC7993" w:rsidRPr="00EC7993">
        <w:t xml:space="preserve">hreshold </w:t>
      </w:r>
      <w:r w:rsidR="00EC7993">
        <w:t>A</w:t>
      </w:r>
      <w:r w:rsidR="00EC7993" w:rsidRPr="00EC7993">
        <w:t>rea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34299612" w:rsidR="003C7140" w:rsidRDefault="00417059" w:rsidP="003C7140">
            <w:pPr>
              <w:rPr>
                <w:lang w:val="en-GB"/>
              </w:rPr>
            </w:pPr>
            <w:r>
              <w:rPr>
                <w:noProof/>
                <w:lang w:eastAsia="de-AT"/>
              </w:rPr>
              <w:drawing>
                <wp:inline distT="0" distB="0" distL="0" distR="0" wp14:anchorId="3A6F0D3A" wp14:editId="108C2610">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6_snap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47F6ADF8" w:rsidR="003C7140" w:rsidRDefault="00417059" w:rsidP="003C7140">
            <w:pPr>
              <w:jc w:val="center"/>
              <w:rPr>
                <w:lang w:val="en-GB"/>
              </w:rPr>
            </w:pPr>
            <w:r>
              <w:rPr>
                <w:noProof/>
                <w:lang w:eastAsia="de-AT"/>
              </w:rPr>
              <w:drawing>
                <wp:inline distT="0" distB="0" distL="0" distR="0" wp14:anchorId="5D7CCD59" wp14:editId="4DD57EA9">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6_snap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3D3A19E5" w:rsidR="003C7140" w:rsidRDefault="00417059" w:rsidP="003C7140">
            <w:pPr>
              <w:jc w:val="right"/>
              <w:rPr>
                <w:lang w:val="en-GB"/>
              </w:rPr>
            </w:pPr>
            <w:r>
              <w:rPr>
                <w:noProof/>
                <w:lang w:eastAsia="de-AT"/>
              </w:rPr>
              <w:drawing>
                <wp:inline distT="0" distB="0" distL="0" distR="0" wp14:anchorId="79004AF8" wp14:editId="1AF42BE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6_snap (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KeinLeerraum"/>
        <w:rPr>
          <w:lang w:val="en-GB"/>
        </w:rPr>
      </w:pPr>
    </w:p>
    <w:p w14:paraId="458837A7" w14:textId="49A58C23" w:rsidR="00D75A69" w:rsidRDefault="00D75A69" w:rsidP="00D75A69">
      <w:pPr>
        <w:pStyle w:val="berschrift3"/>
      </w:pPr>
      <w:r w:rsidRPr="006E7D14">
        <w:t>About</w:t>
      </w:r>
      <w:r>
        <w:t xml:space="preserve"> ConClips</w:t>
      </w:r>
      <w:bookmarkStart w:id="0" w:name="_GoBack"/>
      <w:bookmarkEnd w:id="0"/>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Pr="00D75A69" w:rsidRDefault="00D75A69" w:rsidP="008E4A6A">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73CBF533" w14:textId="520CB67B" w:rsidR="00E82B3C" w:rsidRPr="003563D3" w:rsidRDefault="00E136C2" w:rsidP="003563D3">
      <w:pPr>
        <w:rPr>
          <w:b/>
          <w:caps/>
          <w:lang w:val="en-GB"/>
        </w:rPr>
      </w:pPr>
      <w:r w:rsidRPr="003563D3">
        <w:rPr>
          <w:b/>
          <w:lang w:val="en-GB"/>
        </w:rPr>
        <w:t>Please add the contents relevant for Your teaching – e.g. catchwords of explanation (Why something has to be done?) resp. keywords and a definition of them.</w:t>
      </w:r>
      <w:r w:rsidR="00E82B3C" w:rsidRPr="003563D3">
        <w:rPr>
          <w:b/>
          <w:caps/>
          <w:lang w:val="en-GB"/>
        </w:rPr>
        <w:br w:type="page"/>
      </w:r>
    </w:p>
    <w:tbl>
      <w:tblPr>
        <w:tblStyle w:val="Tabellenraster"/>
        <w:tblW w:w="0" w:type="auto"/>
        <w:tblLook w:val="04A0" w:firstRow="1" w:lastRow="0" w:firstColumn="1" w:lastColumn="0" w:noHBand="0" w:noVBand="1"/>
      </w:tblPr>
      <w:tblGrid>
        <w:gridCol w:w="2830"/>
        <w:gridCol w:w="3402"/>
        <w:gridCol w:w="2830"/>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t>Workflow Steps</w:t>
            </w:r>
          </w:p>
        </w:tc>
      </w:tr>
      <w:tr w:rsidR="009E6D38"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402"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A203A6" w14:paraId="6128E6E9" w14:textId="77777777" w:rsidTr="00AD6073">
        <w:tc>
          <w:tcPr>
            <w:tcW w:w="9062" w:type="dxa"/>
            <w:gridSpan w:val="3"/>
            <w:shd w:val="clear" w:color="auto" w:fill="F2F2F2" w:themeFill="background1" w:themeFillShade="F2"/>
          </w:tcPr>
          <w:p w14:paraId="064A0831" w14:textId="421E459A" w:rsidR="00CB705F" w:rsidRPr="00CB705F" w:rsidRDefault="00EC7993" w:rsidP="00EC7993">
            <w:pPr>
              <w:spacing w:before="40" w:after="40"/>
              <w:rPr>
                <w:b/>
                <w:lang w:val="en-GB"/>
              </w:rPr>
            </w:pPr>
            <w:r w:rsidRPr="00EC7993">
              <w:rPr>
                <w:b/>
                <w:lang w:val="en-GB"/>
              </w:rPr>
              <w:t xml:space="preserve">Sealing of </w:t>
            </w:r>
            <w:r>
              <w:rPr>
                <w:b/>
                <w:lang w:val="en-GB"/>
              </w:rPr>
              <w:t>t</w:t>
            </w:r>
            <w:r w:rsidRPr="00EC7993">
              <w:rPr>
                <w:b/>
                <w:lang w:val="en-GB"/>
              </w:rPr>
              <w:t xml:space="preserve">hreshold </w:t>
            </w:r>
            <w:r>
              <w:rPr>
                <w:b/>
                <w:lang w:val="en-GB"/>
              </w:rPr>
              <w:t>a</w:t>
            </w:r>
            <w:r w:rsidRPr="00EC7993">
              <w:rPr>
                <w:b/>
                <w:lang w:val="en-GB"/>
              </w:rPr>
              <w:t>rea</w:t>
            </w:r>
            <w:r w:rsidR="00CB705F" w:rsidRPr="00CB705F">
              <w:rPr>
                <w:b/>
                <w:lang w:val="en-GB"/>
              </w:rPr>
              <w:t>:</w:t>
            </w:r>
          </w:p>
        </w:tc>
      </w:tr>
      <w:tr w:rsidR="00EC7993" w:rsidRPr="00DC0E39" w14:paraId="6C958EB9" w14:textId="77777777" w:rsidTr="009B19FF">
        <w:tc>
          <w:tcPr>
            <w:tcW w:w="2830" w:type="dxa"/>
            <w:tcBorders>
              <w:right w:val="dashSmallGap" w:sz="4" w:space="0" w:color="auto"/>
            </w:tcBorders>
          </w:tcPr>
          <w:p w14:paraId="1B60E8B5" w14:textId="21C8229E" w:rsidR="00EC7993" w:rsidRPr="00CB705F" w:rsidRDefault="00EC7993" w:rsidP="00EC7993">
            <w:pPr>
              <w:spacing w:before="40" w:after="40"/>
              <w:rPr>
                <w:lang w:val="en-GB"/>
              </w:rPr>
            </w:pPr>
            <w:r>
              <w:rPr>
                <w:lang w:val="en-GB"/>
              </w:rPr>
              <w:t>A</w:t>
            </w:r>
            <w:r w:rsidRPr="00EC7993">
              <w:rPr>
                <w:lang w:val="en-GB"/>
              </w:rPr>
              <w:t>ttach</w:t>
            </w:r>
            <w:r>
              <w:rPr>
                <w:lang w:val="en-GB"/>
              </w:rPr>
              <w:t xml:space="preserve"> the</w:t>
            </w:r>
            <w:r w:rsidRPr="00EC7993">
              <w:rPr>
                <w:lang w:val="en-GB"/>
              </w:rPr>
              <w:t xml:space="preserve"> </w:t>
            </w:r>
            <w:r w:rsidRPr="00EC7993">
              <w:rPr>
                <w:lang w:val="en-GB"/>
              </w:rPr>
              <w:t>wooden structure to the concrete</w:t>
            </w:r>
            <w:r>
              <w:rPr>
                <w:lang w:val="en-GB"/>
              </w:rPr>
              <w:t xml:space="preserve"> floor by means of </w:t>
            </w:r>
            <w:r w:rsidRPr="00EC7993">
              <w:rPr>
                <w:lang w:val="en-GB"/>
              </w:rPr>
              <w:t>mounting brackets</w:t>
            </w:r>
            <w:r w:rsidRPr="00EC7993">
              <w:rPr>
                <w:lang w:val="en-GB"/>
              </w:rPr>
              <w:t>.</w:t>
            </w:r>
          </w:p>
        </w:tc>
        <w:tc>
          <w:tcPr>
            <w:tcW w:w="3402" w:type="dxa"/>
            <w:tcBorders>
              <w:left w:val="dashSmallGap" w:sz="4" w:space="0" w:color="auto"/>
              <w:right w:val="dashSmallGap" w:sz="4" w:space="0" w:color="auto"/>
            </w:tcBorders>
          </w:tcPr>
          <w:p w14:paraId="6FCC1B9A" w14:textId="77777777" w:rsidR="00EC7993" w:rsidRPr="00CB705F" w:rsidRDefault="00EC7993" w:rsidP="00EC7993">
            <w:pPr>
              <w:spacing w:before="40" w:after="40"/>
              <w:rPr>
                <w:lang w:val="en-GB"/>
              </w:rPr>
            </w:pPr>
          </w:p>
        </w:tc>
        <w:tc>
          <w:tcPr>
            <w:tcW w:w="2830" w:type="dxa"/>
            <w:tcBorders>
              <w:left w:val="dashSmallGap" w:sz="4" w:space="0" w:color="auto"/>
            </w:tcBorders>
          </w:tcPr>
          <w:p w14:paraId="044BD776" w14:textId="4F9292C2" w:rsidR="00EC7993" w:rsidRPr="00CB705F" w:rsidRDefault="00EC7993" w:rsidP="00EC7993">
            <w:pPr>
              <w:spacing w:before="40" w:after="40"/>
              <w:rPr>
                <w:lang w:val="en-GB"/>
              </w:rPr>
            </w:pPr>
          </w:p>
        </w:tc>
      </w:tr>
      <w:tr w:rsidR="00EC7993" w:rsidRPr="00DC0E39" w14:paraId="5B59ACC7" w14:textId="77777777" w:rsidTr="00EC7993">
        <w:trPr>
          <w:trHeight w:val="371"/>
        </w:trPr>
        <w:tc>
          <w:tcPr>
            <w:tcW w:w="2830" w:type="dxa"/>
            <w:vMerge w:val="restart"/>
            <w:tcBorders>
              <w:right w:val="dashSmallGap" w:sz="4" w:space="0" w:color="auto"/>
            </w:tcBorders>
          </w:tcPr>
          <w:p w14:paraId="792F71CD" w14:textId="3AF6325E" w:rsidR="00EC7993" w:rsidRPr="00CB705F" w:rsidRDefault="00EC7993" w:rsidP="00EC7993">
            <w:pPr>
              <w:spacing w:before="40" w:after="40"/>
              <w:rPr>
                <w:lang w:val="en-GB"/>
              </w:rPr>
            </w:pPr>
            <w:r>
              <w:rPr>
                <w:lang w:val="en-GB"/>
              </w:rPr>
              <w:t xml:space="preserve">Tape </w:t>
            </w:r>
            <w:r w:rsidRPr="00EC7993">
              <w:rPr>
                <w:lang w:val="en-GB"/>
              </w:rPr>
              <w:t>the gap in the threshol</w:t>
            </w:r>
            <w:r>
              <w:rPr>
                <w:lang w:val="en-GB"/>
              </w:rPr>
              <w:t xml:space="preserve">d area (between floor and wall) </w:t>
            </w:r>
            <w:r w:rsidRPr="00EC7993">
              <w:rPr>
                <w:lang w:val="en-GB"/>
              </w:rPr>
              <w:t>airtight.</w:t>
            </w:r>
          </w:p>
        </w:tc>
        <w:tc>
          <w:tcPr>
            <w:tcW w:w="3402" w:type="dxa"/>
            <w:tcBorders>
              <w:left w:val="dashSmallGap" w:sz="4" w:space="0" w:color="auto"/>
            </w:tcBorders>
          </w:tcPr>
          <w:p w14:paraId="319A7306" w14:textId="1EFD0A59" w:rsidR="00EC7993" w:rsidRPr="00EC7993" w:rsidRDefault="00EC7993" w:rsidP="00EC7993">
            <w:pPr>
              <w:spacing w:before="40" w:after="40"/>
              <w:rPr>
                <w:lang w:val="en-GB"/>
              </w:rPr>
            </w:pPr>
            <w:r>
              <w:rPr>
                <w:lang w:val="en-GB"/>
              </w:rPr>
              <w:t xml:space="preserve">First, pay attention that the </w:t>
            </w:r>
            <w:r w:rsidRPr="00EC7993">
              <w:rPr>
                <w:lang w:val="en-GB"/>
              </w:rPr>
              <w:t xml:space="preserve">surfaces </w:t>
            </w:r>
            <w:r>
              <w:rPr>
                <w:lang w:val="en-GB"/>
              </w:rPr>
              <w:t>are</w:t>
            </w:r>
            <w:r w:rsidRPr="00EC7993">
              <w:rPr>
                <w:lang w:val="en-GB"/>
              </w:rPr>
              <w:t xml:space="preserve"> clean and dry</w:t>
            </w:r>
            <w:r>
              <w:rPr>
                <w:lang w:val="en-GB"/>
              </w:rPr>
              <w:t>.</w:t>
            </w:r>
          </w:p>
        </w:tc>
        <w:tc>
          <w:tcPr>
            <w:tcW w:w="2830" w:type="dxa"/>
            <w:tcBorders>
              <w:left w:val="dashSmallGap" w:sz="4" w:space="0" w:color="auto"/>
            </w:tcBorders>
          </w:tcPr>
          <w:p w14:paraId="715EC287" w14:textId="09D4FF6E" w:rsidR="00EC7993" w:rsidRPr="00CB705F" w:rsidRDefault="00EC7993" w:rsidP="00EC7993">
            <w:pPr>
              <w:spacing w:before="40" w:after="40"/>
              <w:rPr>
                <w:lang w:val="en-GB"/>
              </w:rPr>
            </w:pPr>
          </w:p>
        </w:tc>
      </w:tr>
      <w:tr w:rsidR="00EC7993" w:rsidRPr="00DC0E39" w14:paraId="15772FD8" w14:textId="77777777" w:rsidTr="00C50AEE">
        <w:tc>
          <w:tcPr>
            <w:tcW w:w="2830" w:type="dxa"/>
            <w:vMerge/>
            <w:tcBorders>
              <w:right w:val="dashSmallGap" w:sz="4" w:space="0" w:color="auto"/>
            </w:tcBorders>
          </w:tcPr>
          <w:p w14:paraId="1A463253" w14:textId="39409145" w:rsidR="00EC7993" w:rsidRPr="00CB705F" w:rsidRDefault="00EC7993" w:rsidP="00EC7993">
            <w:pPr>
              <w:spacing w:before="40" w:after="40"/>
              <w:rPr>
                <w:lang w:val="en-GB"/>
              </w:rPr>
            </w:pPr>
          </w:p>
        </w:tc>
        <w:tc>
          <w:tcPr>
            <w:tcW w:w="3402" w:type="dxa"/>
            <w:tcBorders>
              <w:top w:val="dashSmallGap" w:sz="4" w:space="0" w:color="auto"/>
              <w:left w:val="dashSmallGap" w:sz="4" w:space="0" w:color="auto"/>
              <w:bottom w:val="dashSmallGap" w:sz="4" w:space="0" w:color="auto"/>
              <w:right w:val="dashSmallGap" w:sz="4" w:space="0" w:color="auto"/>
            </w:tcBorders>
          </w:tcPr>
          <w:p w14:paraId="12056070" w14:textId="186198E8" w:rsidR="00EC7993" w:rsidRPr="00CB705F" w:rsidRDefault="00D97494" w:rsidP="00EC7993">
            <w:pPr>
              <w:spacing w:before="40" w:after="40"/>
              <w:rPr>
                <w:lang w:val="en-GB"/>
              </w:rPr>
            </w:pPr>
            <w:r>
              <w:rPr>
                <w:lang w:val="en-GB"/>
              </w:rPr>
              <w:t>Pre-treat the surfaces with primer.</w:t>
            </w:r>
          </w:p>
        </w:tc>
        <w:tc>
          <w:tcPr>
            <w:tcW w:w="2830" w:type="dxa"/>
            <w:tcBorders>
              <w:top w:val="dashSmallGap" w:sz="4" w:space="0" w:color="auto"/>
              <w:left w:val="dashSmallGap" w:sz="4" w:space="0" w:color="auto"/>
              <w:bottom w:val="dashSmallGap" w:sz="4" w:space="0" w:color="auto"/>
            </w:tcBorders>
          </w:tcPr>
          <w:p w14:paraId="73516AB2" w14:textId="19D89E56" w:rsidR="00EC7993" w:rsidRPr="00CB705F" w:rsidRDefault="00D97494" w:rsidP="00EC7993">
            <w:pPr>
              <w:spacing w:before="40" w:after="40"/>
              <w:rPr>
                <w:lang w:val="en-GB"/>
              </w:rPr>
            </w:pPr>
            <w:r>
              <w:rPr>
                <w:lang w:val="en-GB"/>
              </w:rPr>
              <w:t xml:space="preserve">The primer guarantees that the </w:t>
            </w:r>
            <w:r w:rsidRPr="00D97494">
              <w:rPr>
                <w:lang w:val="en-GB"/>
              </w:rPr>
              <w:t>sealing tape adheres better.</w:t>
            </w:r>
          </w:p>
        </w:tc>
      </w:tr>
      <w:tr w:rsidR="00EC7993" w:rsidRPr="00DC0E39" w14:paraId="0B67D3BE" w14:textId="77777777" w:rsidTr="00EC7993">
        <w:trPr>
          <w:trHeight w:val="447"/>
        </w:trPr>
        <w:tc>
          <w:tcPr>
            <w:tcW w:w="2830" w:type="dxa"/>
            <w:vMerge/>
            <w:tcBorders>
              <w:right w:val="dashSmallGap" w:sz="4" w:space="0" w:color="auto"/>
            </w:tcBorders>
          </w:tcPr>
          <w:p w14:paraId="18732AA4" w14:textId="3615FE72" w:rsidR="00EC7993" w:rsidRPr="00CB705F" w:rsidRDefault="00EC7993" w:rsidP="00EC7993">
            <w:pPr>
              <w:spacing w:before="40" w:after="40"/>
              <w:rPr>
                <w:lang w:val="en-GB"/>
              </w:rPr>
            </w:pPr>
          </w:p>
        </w:tc>
        <w:tc>
          <w:tcPr>
            <w:tcW w:w="3402" w:type="dxa"/>
            <w:tcBorders>
              <w:top w:val="dashSmallGap" w:sz="4" w:space="0" w:color="auto"/>
              <w:left w:val="dashSmallGap" w:sz="4" w:space="0" w:color="auto"/>
              <w:right w:val="dashSmallGap" w:sz="4" w:space="0" w:color="auto"/>
            </w:tcBorders>
          </w:tcPr>
          <w:p w14:paraId="15379FC3" w14:textId="5A0D2988" w:rsidR="00EC7993" w:rsidRPr="00CB705F" w:rsidRDefault="00D97494" w:rsidP="00EC7993">
            <w:pPr>
              <w:spacing w:before="40" w:after="40"/>
              <w:rPr>
                <w:lang w:val="en-GB"/>
              </w:rPr>
            </w:pPr>
            <w:r>
              <w:rPr>
                <w:lang w:val="en-GB"/>
              </w:rPr>
              <w:t>Prefabricate the corner from sealing tape so that it fits exactly in the shape.</w:t>
            </w:r>
          </w:p>
        </w:tc>
        <w:tc>
          <w:tcPr>
            <w:tcW w:w="2830" w:type="dxa"/>
            <w:tcBorders>
              <w:top w:val="dashSmallGap" w:sz="4" w:space="0" w:color="auto"/>
              <w:left w:val="dashSmallGap" w:sz="4" w:space="0" w:color="auto"/>
            </w:tcBorders>
          </w:tcPr>
          <w:p w14:paraId="11F8A893" w14:textId="1DE3324A" w:rsidR="00EC7993" w:rsidRPr="00CB705F" w:rsidRDefault="00EC7993" w:rsidP="00EC7993">
            <w:pPr>
              <w:spacing w:before="40" w:after="40"/>
              <w:rPr>
                <w:lang w:val="en-GB"/>
              </w:rPr>
            </w:pPr>
          </w:p>
        </w:tc>
      </w:tr>
      <w:tr w:rsidR="00D97494" w:rsidRPr="00DC0E39" w14:paraId="1D4052C2" w14:textId="77777777" w:rsidTr="00EC7993">
        <w:trPr>
          <w:trHeight w:val="447"/>
        </w:trPr>
        <w:tc>
          <w:tcPr>
            <w:tcW w:w="2830" w:type="dxa"/>
            <w:tcBorders>
              <w:right w:val="dashSmallGap" w:sz="4" w:space="0" w:color="auto"/>
            </w:tcBorders>
          </w:tcPr>
          <w:p w14:paraId="4D73FEAC" w14:textId="77777777" w:rsidR="00D97494" w:rsidRPr="00CB705F" w:rsidRDefault="00D97494" w:rsidP="00EC7993">
            <w:pPr>
              <w:spacing w:before="40" w:after="40"/>
              <w:rPr>
                <w:lang w:val="en-GB"/>
              </w:rPr>
            </w:pPr>
          </w:p>
        </w:tc>
        <w:tc>
          <w:tcPr>
            <w:tcW w:w="3402" w:type="dxa"/>
            <w:tcBorders>
              <w:top w:val="dashSmallGap" w:sz="4" w:space="0" w:color="auto"/>
              <w:left w:val="dashSmallGap" w:sz="4" w:space="0" w:color="auto"/>
              <w:right w:val="dashSmallGap" w:sz="4" w:space="0" w:color="auto"/>
            </w:tcBorders>
          </w:tcPr>
          <w:p w14:paraId="75FDE69F" w14:textId="1FA27969" w:rsidR="00D97494" w:rsidRDefault="00D97494" w:rsidP="00D97494">
            <w:pPr>
              <w:spacing w:before="40" w:after="40"/>
              <w:rPr>
                <w:lang w:val="en-GB"/>
              </w:rPr>
            </w:pPr>
            <w:r>
              <w:rPr>
                <w:lang w:val="en-GB"/>
              </w:rPr>
              <w:t>U</w:t>
            </w:r>
            <w:r w:rsidRPr="00D97494">
              <w:rPr>
                <w:lang w:val="en-GB"/>
              </w:rPr>
              <w:t>se a roller or spatula</w:t>
            </w:r>
            <w:r>
              <w:rPr>
                <w:lang w:val="en-GB"/>
              </w:rPr>
              <w:t xml:space="preserve"> in order to have </w:t>
            </w:r>
            <w:r w:rsidRPr="00D97494">
              <w:rPr>
                <w:lang w:val="en-GB"/>
              </w:rPr>
              <w:t>sufficient</w:t>
            </w:r>
            <w:r>
              <w:rPr>
                <w:lang w:val="en-GB"/>
              </w:rPr>
              <w:t xml:space="preserve"> and equal</w:t>
            </w:r>
            <w:r w:rsidRPr="00D97494">
              <w:rPr>
                <w:lang w:val="en-GB"/>
              </w:rPr>
              <w:t xml:space="preserve"> pressure</w:t>
            </w:r>
            <w:r>
              <w:rPr>
                <w:lang w:val="en-GB"/>
              </w:rPr>
              <w:t xml:space="preserve"> on the sealing tape.</w:t>
            </w:r>
          </w:p>
        </w:tc>
        <w:tc>
          <w:tcPr>
            <w:tcW w:w="2830" w:type="dxa"/>
            <w:tcBorders>
              <w:top w:val="dashSmallGap" w:sz="4" w:space="0" w:color="auto"/>
              <w:left w:val="dashSmallGap" w:sz="4" w:space="0" w:color="auto"/>
            </w:tcBorders>
          </w:tcPr>
          <w:p w14:paraId="28854F4F" w14:textId="77777777" w:rsidR="00D97494" w:rsidRDefault="00D97494" w:rsidP="00EC7993">
            <w:pPr>
              <w:spacing w:before="40" w:after="40"/>
              <w:rPr>
                <w:lang w:val="en-GB"/>
              </w:rPr>
            </w:pPr>
          </w:p>
        </w:tc>
      </w:tr>
      <w:tr w:rsidR="00EC7993" w:rsidRPr="00DC0E39" w14:paraId="0F992471" w14:textId="77777777" w:rsidTr="00956A7B">
        <w:trPr>
          <w:trHeight w:val="980"/>
        </w:trPr>
        <w:tc>
          <w:tcPr>
            <w:tcW w:w="2830" w:type="dxa"/>
            <w:tcBorders>
              <w:right w:val="dashSmallGap" w:sz="4" w:space="0" w:color="auto"/>
            </w:tcBorders>
          </w:tcPr>
          <w:p w14:paraId="57576941" w14:textId="7747BE8D" w:rsidR="00EC7993" w:rsidRPr="00D97494" w:rsidRDefault="00D97494" w:rsidP="00EC7993">
            <w:pPr>
              <w:spacing w:before="40" w:after="40"/>
              <w:rPr>
                <w:lang w:val="en-GB"/>
              </w:rPr>
            </w:pPr>
            <w:r>
              <w:rPr>
                <w:lang w:val="en-GB"/>
              </w:rPr>
              <w:t xml:space="preserve">Before an internal wall is installed, </w:t>
            </w:r>
            <w:r w:rsidRPr="00D97494">
              <w:rPr>
                <w:lang w:val="en-GB"/>
              </w:rPr>
              <w:t>it is necessary to first seal the horizontal joint</w:t>
            </w:r>
            <w:r>
              <w:rPr>
                <w:lang w:val="en-GB"/>
              </w:rPr>
              <w:t xml:space="preserve"> with a short piece of sealing tape.</w:t>
            </w:r>
          </w:p>
        </w:tc>
        <w:tc>
          <w:tcPr>
            <w:tcW w:w="3402" w:type="dxa"/>
            <w:tcBorders>
              <w:left w:val="dashSmallGap" w:sz="4" w:space="0" w:color="auto"/>
              <w:right w:val="dashSmallGap" w:sz="4" w:space="0" w:color="auto"/>
            </w:tcBorders>
          </w:tcPr>
          <w:p w14:paraId="4F6DC2F8" w14:textId="467E0EFA" w:rsidR="00EC7993" w:rsidRPr="00897BC2" w:rsidRDefault="00EC7993" w:rsidP="00EC7993">
            <w:pPr>
              <w:spacing w:before="40" w:after="40"/>
              <w:rPr>
                <w:lang w:val="en-GB"/>
              </w:rPr>
            </w:pPr>
          </w:p>
        </w:tc>
        <w:tc>
          <w:tcPr>
            <w:tcW w:w="2830" w:type="dxa"/>
            <w:tcBorders>
              <w:left w:val="dashSmallGap" w:sz="4" w:space="0" w:color="auto"/>
            </w:tcBorders>
          </w:tcPr>
          <w:p w14:paraId="40DD9490" w14:textId="4D893121" w:rsidR="00EC7993" w:rsidRPr="00CB705F" w:rsidRDefault="00D97494" w:rsidP="00D97494">
            <w:pPr>
              <w:spacing w:before="40" w:after="40"/>
              <w:rPr>
                <w:lang w:val="en-GB"/>
              </w:rPr>
            </w:pPr>
            <w:r>
              <w:rPr>
                <w:lang w:val="en-GB"/>
              </w:rPr>
              <w:t>I</w:t>
            </w:r>
            <w:r w:rsidRPr="00D97494">
              <w:rPr>
                <w:lang w:val="en-GB"/>
              </w:rPr>
              <w:t>nternal wall</w:t>
            </w:r>
            <w:r>
              <w:rPr>
                <w:lang w:val="en-GB"/>
              </w:rPr>
              <w:t>s</w:t>
            </w:r>
            <w:r w:rsidRPr="00D97494">
              <w:rPr>
                <w:lang w:val="en-GB"/>
              </w:rPr>
              <w:t xml:space="preserve"> </w:t>
            </w:r>
            <w:r>
              <w:rPr>
                <w:lang w:val="en-GB"/>
              </w:rPr>
              <w:t xml:space="preserve">are installed </w:t>
            </w:r>
            <w:r w:rsidRPr="00D97494">
              <w:rPr>
                <w:lang w:val="en-GB"/>
              </w:rPr>
              <w:t>for reasons of stability</w:t>
            </w:r>
            <w:r>
              <w:rPr>
                <w:lang w:val="en-GB"/>
              </w:rPr>
              <w:t xml:space="preserve"> before the sealing; the sealing tape on the floor avoids air leak.</w:t>
            </w:r>
          </w:p>
        </w:tc>
      </w:tr>
      <w:tr w:rsidR="00EC7993" w:rsidRPr="00DC0E39" w14:paraId="43723DDB" w14:textId="7DA8D2CA" w:rsidTr="00D237FC">
        <w:trPr>
          <w:trHeight w:val="457"/>
        </w:trPr>
        <w:tc>
          <w:tcPr>
            <w:tcW w:w="2830" w:type="dxa"/>
            <w:vMerge w:val="restart"/>
            <w:tcBorders>
              <w:right w:val="dashSmallGap" w:sz="4" w:space="0" w:color="auto"/>
            </w:tcBorders>
          </w:tcPr>
          <w:p w14:paraId="01B8E979" w14:textId="6D1B5768" w:rsidR="00EC7993" w:rsidRPr="00D97494" w:rsidRDefault="00D97494" w:rsidP="00417059">
            <w:pPr>
              <w:spacing w:before="40" w:after="40"/>
              <w:rPr>
                <w:lang w:val="en-GB"/>
              </w:rPr>
            </w:pPr>
            <w:r>
              <w:rPr>
                <w:lang w:val="en-GB"/>
              </w:rPr>
              <w:t xml:space="preserve">The </w:t>
            </w:r>
            <w:r w:rsidRPr="00D97494">
              <w:rPr>
                <w:lang w:val="en-GB"/>
              </w:rPr>
              <w:t xml:space="preserve">mounting brackets </w:t>
            </w:r>
            <w:r>
              <w:rPr>
                <w:lang w:val="en-GB"/>
              </w:rPr>
              <w:t xml:space="preserve">by which fix the wall to </w:t>
            </w:r>
            <w:r w:rsidRPr="00D97494">
              <w:rPr>
                <w:lang w:val="en-GB"/>
              </w:rPr>
              <w:t xml:space="preserve">the </w:t>
            </w:r>
            <w:r>
              <w:rPr>
                <w:lang w:val="en-GB"/>
              </w:rPr>
              <w:t xml:space="preserve">concrete </w:t>
            </w:r>
            <w:r w:rsidRPr="00D97494">
              <w:rPr>
                <w:lang w:val="en-GB"/>
              </w:rPr>
              <w:t>ground</w:t>
            </w:r>
            <w:r>
              <w:rPr>
                <w:lang w:val="en-GB"/>
              </w:rPr>
              <w:t xml:space="preserve"> have to be sealed completely</w:t>
            </w:r>
            <w:r w:rsidR="00417059">
              <w:rPr>
                <w:lang w:val="en-GB"/>
              </w:rPr>
              <w:t xml:space="preserve"> with tape.</w:t>
            </w:r>
          </w:p>
        </w:tc>
        <w:tc>
          <w:tcPr>
            <w:tcW w:w="3402" w:type="dxa"/>
            <w:tcBorders>
              <w:left w:val="dashSmallGap" w:sz="4" w:space="0" w:color="auto"/>
              <w:bottom w:val="dashSmallGap" w:sz="4" w:space="0" w:color="auto"/>
            </w:tcBorders>
          </w:tcPr>
          <w:p w14:paraId="3DBE2A86" w14:textId="0643FF91" w:rsidR="00EC7993" w:rsidRPr="00CB705F" w:rsidRDefault="00417059" w:rsidP="00417059">
            <w:pPr>
              <w:spacing w:before="40" w:after="40"/>
              <w:rPr>
                <w:lang w:val="en-GB"/>
              </w:rPr>
            </w:pPr>
            <w:r>
              <w:rPr>
                <w:lang w:val="en-GB"/>
              </w:rPr>
              <w:t xml:space="preserve">Seal the </w:t>
            </w:r>
            <w:r w:rsidRPr="00417059">
              <w:rPr>
                <w:lang w:val="en-GB"/>
              </w:rPr>
              <w:t xml:space="preserve">large mounting brackets fixed on the ground </w:t>
            </w:r>
            <w:r>
              <w:rPr>
                <w:lang w:val="en-GB"/>
              </w:rPr>
              <w:t xml:space="preserve">by two layers of tape: The </w:t>
            </w:r>
            <w:r w:rsidRPr="00417059">
              <w:rPr>
                <w:lang w:val="en-GB"/>
              </w:rPr>
              <w:t xml:space="preserve">first </w:t>
            </w:r>
            <w:r>
              <w:rPr>
                <w:lang w:val="en-GB"/>
              </w:rPr>
              <w:t xml:space="preserve">is put </w:t>
            </w:r>
            <w:r w:rsidRPr="00417059">
              <w:rPr>
                <w:lang w:val="en-GB"/>
              </w:rPr>
              <w:t xml:space="preserve">vertically, then </w:t>
            </w:r>
            <w:r>
              <w:rPr>
                <w:lang w:val="en-GB"/>
              </w:rPr>
              <w:t xml:space="preserve">one </w:t>
            </w:r>
            <w:r w:rsidRPr="00417059">
              <w:rPr>
                <w:lang w:val="en-GB"/>
              </w:rPr>
              <w:t>horizontally.</w:t>
            </w:r>
          </w:p>
        </w:tc>
        <w:tc>
          <w:tcPr>
            <w:tcW w:w="2830" w:type="dxa"/>
            <w:tcBorders>
              <w:left w:val="dashSmallGap" w:sz="4" w:space="0" w:color="auto"/>
              <w:bottom w:val="dashSmallGap" w:sz="4" w:space="0" w:color="auto"/>
            </w:tcBorders>
          </w:tcPr>
          <w:p w14:paraId="50AB8C36" w14:textId="7AC4C01B" w:rsidR="00EC7993" w:rsidRPr="00CB705F" w:rsidRDefault="00EC7993" w:rsidP="00EC7993">
            <w:pPr>
              <w:spacing w:before="40" w:after="40"/>
              <w:rPr>
                <w:lang w:val="en-GB"/>
              </w:rPr>
            </w:pPr>
          </w:p>
        </w:tc>
      </w:tr>
      <w:tr w:rsidR="00EC7993" w:rsidRPr="00DC0E39" w14:paraId="65AD1034" w14:textId="77777777" w:rsidTr="00D237FC">
        <w:trPr>
          <w:trHeight w:val="456"/>
        </w:trPr>
        <w:tc>
          <w:tcPr>
            <w:tcW w:w="2830" w:type="dxa"/>
            <w:vMerge/>
            <w:tcBorders>
              <w:right w:val="dashSmallGap" w:sz="4" w:space="0" w:color="auto"/>
            </w:tcBorders>
          </w:tcPr>
          <w:p w14:paraId="17EE2C8B" w14:textId="77777777" w:rsidR="00EC7993" w:rsidRDefault="00EC7993" w:rsidP="00EC7993">
            <w:pPr>
              <w:spacing w:before="40" w:after="40"/>
              <w:rPr>
                <w:lang w:val="en-GB"/>
              </w:rPr>
            </w:pPr>
          </w:p>
        </w:tc>
        <w:tc>
          <w:tcPr>
            <w:tcW w:w="3402" w:type="dxa"/>
            <w:tcBorders>
              <w:top w:val="dashSmallGap" w:sz="4" w:space="0" w:color="auto"/>
              <w:left w:val="dashSmallGap" w:sz="4" w:space="0" w:color="auto"/>
            </w:tcBorders>
          </w:tcPr>
          <w:p w14:paraId="6467D9C7" w14:textId="5E3A9D5D" w:rsidR="00EC7993" w:rsidRPr="00D237FC" w:rsidRDefault="00417059" w:rsidP="00417059">
            <w:pPr>
              <w:tabs>
                <w:tab w:val="center" w:pos="1450"/>
              </w:tabs>
              <w:spacing w:before="40" w:after="40"/>
              <w:rPr>
                <w:rStyle w:val="hps"/>
                <w:rFonts w:cs="Arial"/>
                <w:color w:val="222222"/>
                <w:szCs w:val="20"/>
                <w:lang w:val="en-GB"/>
              </w:rPr>
            </w:pPr>
            <w:r>
              <w:rPr>
                <w:rStyle w:val="hps"/>
                <w:rFonts w:cs="Arial"/>
                <w:color w:val="222222"/>
                <w:szCs w:val="20"/>
                <w:lang w:val="en-GB"/>
              </w:rPr>
              <w:t>T</w:t>
            </w:r>
            <w:r w:rsidRPr="00417059">
              <w:rPr>
                <w:rStyle w:val="hps"/>
                <w:rFonts w:cs="Arial"/>
                <w:color w:val="222222"/>
                <w:szCs w:val="20"/>
                <w:lang w:val="en-GB"/>
              </w:rPr>
              <w:t xml:space="preserve">he small mounting brackets </w:t>
            </w:r>
            <w:r>
              <w:rPr>
                <w:rStyle w:val="hps"/>
                <w:rFonts w:cs="Arial"/>
                <w:color w:val="222222"/>
                <w:szCs w:val="20"/>
                <w:lang w:val="en-GB"/>
              </w:rPr>
              <w:t xml:space="preserve">also </w:t>
            </w:r>
            <w:r w:rsidRPr="00417059">
              <w:rPr>
                <w:rStyle w:val="hps"/>
                <w:rFonts w:cs="Arial"/>
                <w:color w:val="222222"/>
                <w:szCs w:val="20"/>
                <w:lang w:val="en-GB"/>
              </w:rPr>
              <w:t>have to be covered completely with tape.</w:t>
            </w:r>
          </w:p>
        </w:tc>
        <w:tc>
          <w:tcPr>
            <w:tcW w:w="2830" w:type="dxa"/>
            <w:tcBorders>
              <w:top w:val="dashSmallGap" w:sz="4" w:space="0" w:color="auto"/>
              <w:left w:val="dashSmallGap" w:sz="4" w:space="0" w:color="auto"/>
            </w:tcBorders>
          </w:tcPr>
          <w:p w14:paraId="272F8925" w14:textId="2093984C" w:rsidR="00EC7993" w:rsidRPr="00D237FC" w:rsidRDefault="00EC7993" w:rsidP="00EC7993">
            <w:pPr>
              <w:spacing w:before="40" w:after="40"/>
              <w:rPr>
                <w:rStyle w:val="hps"/>
                <w:rFonts w:cs="Arial"/>
                <w:color w:val="222222"/>
                <w:szCs w:val="20"/>
                <w:lang w:val="en-GB"/>
              </w:rPr>
            </w:pPr>
          </w:p>
        </w:tc>
      </w:tr>
      <w:tr w:rsidR="00EC7993" w:rsidRPr="00DC0E39" w14:paraId="4CE3DA2A" w14:textId="77777777" w:rsidTr="00DC0E39">
        <w:tc>
          <w:tcPr>
            <w:tcW w:w="2830" w:type="dxa"/>
            <w:tcBorders>
              <w:right w:val="dashSmallGap" w:sz="4" w:space="0" w:color="auto"/>
            </w:tcBorders>
          </w:tcPr>
          <w:p w14:paraId="3CDFAA1E" w14:textId="2A267642" w:rsidR="00EC7993" w:rsidRPr="00CB705F" w:rsidRDefault="00EC7993" w:rsidP="00EC7993">
            <w:pPr>
              <w:spacing w:before="40" w:after="40"/>
              <w:rPr>
                <w:lang w:val="en-GB"/>
              </w:rPr>
            </w:pPr>
          </w:p>
        </w:tc>
        <w:tc>
          <w:tcPr>
            <w:tcW w:w="3402" w:type="dxa"/>
            <w:tcBorders>
              <w:left w:val="dashSmallGap" w:sz="4" w:space="0" w:color="auto"/>
              <w:right w:val="dashSmallGap" w:sz="4" w:space="0" w:color="auto"/>
            </w:tcBorders>
          </w:tcPr>
          <w:p w14:paraId="6B8E0382" w14:textId="77777777" w:rsidR="00EC7993" w:rsidRPr="00CB705F" w:rsidRDefault="00EC7993" w:rsidP="00EC7993">
            <w:pPr>
              <w:spacing w:before="40" w:after="40"/>
              <w:rPr>
                <w:lang w:val="en-GB"/>
              </w:rPr>
            </w:pPr>
          </w:p>
        </w:tc>
        <w:tc>
          <w:tcPr>
            <w:tcW w:w="2830" w:type="dxa"/>
            <w:tcBorders>
              <w:left w:val="dashSmallGap" w:sz="4" w:space="0" w:color="auto"/>
            </w:tcBorders>
          </w:tcPr>
          <w:p w14:paraId="42297E6C" w14:textId="3A80F64C" w:rsidR="00EC7993" w:rsidRPr="00CB705F" w:rsidRDefault="00417059" w:rsidP="00417059">
            <w:pPr>
              <w:spacing w:before="40" w:after="40"/>
              <w:rPr>
                <w:lang w:val="en-GB"/>
              </w:rPr>
            </w:pPr>
            <w:r>
              <w:rPr>
                <w:lang w:val="en-GB"/>
              </w:rPr>
              <w:t xml:space="preserve">A well-sealed threshold area is the precondition for the next work step – the </w:t>
            </w:r>
            <w:r w:rsidRPr="00417059">
              <w:rPr>
                <w:lang w:val="en-GB"/>
              </w:rPr>
              <w:t>mounting of the inner walls</w:t>
            </w:r>
            <w:r>
              <w:rPr>
                <w:lang w:val="en-GB"/>
              </w:rPr>
              <w:t>.</w:t>
            </w:r>
          </w:p>
        </w:tc>
      </w:tr>
      <w:tr w:rsidR="00417059" w:rsidRPr="00DC0E39" w14:paraId="5670CB1F" w14:textId="77777777" w:rsidTr="00DC0E39">
        <w:tc>
          <w:tcPr>
            <w:tcW w:w="2830" w:type="dxa"/>
            <w:tcBorders>
              <w:right w:val="dashSmallGap" w:sz="4" w:space="0" w:color="auto"/>
            </w:tcBorders>
          </w:tcPr>
          <w:p w14:paraId="29B2C6E2" w14:textId="77777777" w:rsidR="00417059" w:rsidRDefault="00417059" w:rsidP="00EC7993">
            <w:pPr>
              <w:spacing w:before="40" w:after="40"/>
              <w:rPr>
                <w:lang w:val="en-GB"/>
              </w:rPr>
            </w:pPr>
          </w:p>
        </w:tc>
        <w:tc>
          <w:tcPr>
            <w:tcW w:w="3402" w:type="dxa"/>
            <w:tcBorders>
              <w:left w:val="dashSmallGap" w:sz="4" w:space="0" w:color="auto"/>
              <w:right w:val="dashSmallGap" w:sz="4" w:space="0" w:color="auto"/>
            </w:tcBorders>
          </w:tcPr>
          <w:p w14:paraId="4A8498E7" w14:textId="77777777" w:rsidR="00417059" w:rsidRPr="00CB705F" w:rsidRDefault="00417059" w:rsidP="00EC7993">
            <w:pPr>
              <w:spacing w:before="40" w:after="40"/>
              <w:rPr>
                <w:lang w:val="en-GB"/>
              </w:rPr>
            </w:pPr>
          </w:p>
        </w:tc>
        <w:tc>
          <w:tcPr>
            <w:tcW w:w="2830" w:type="dxa"/>
            <w:tcBorders>
              <w:left w:val="dashSmallGap" w:sz="4" w:space="0" w:color="auto"/>
            </w:tcBorders>
          </w:tcPr>
          <w:p w14:paraId="5BEAB6B9" w14:textId="77777777" w:rsidR="00417059" w:rsidRDefault="00417059" w:rsidP="00EC7993">
            <w:pPr>
              <w:spacing w:before="40" w:after="40"/>
              <w:rPr>
                <w:lang w:val="en-GB"/>
              </w:rPr>
            </w:pPr>
          </w:p>
        </w:tc>
      </w:tr>
      <w:tr w:rsidR="00417059" w:rsidRPr="00DC0E39" w14:paraId="6950EE97" w14:textId="77777777" w:rsidTr="00DC0E39">
        <w:tc>
          <w:tcPr>
            <w:tcW w:w="2830" w:type="dxa"/>
            <w:tcBorders>
              <w:right w:val="dashSmallGap" w:sz="4" w:space="0" w:color="auto"/>
            </w:tcBorders>
          </w:tcPr>
          <w:p w14:paraId="6E261B58" w14:textId="77777777" w:rsidR="00417059" w:rsidRDefault="00417059" w:rsidP="00EC7993">
            <w:pPr>
              <w:spacing w:before="40" w:after="40"/>
              <w:rPr>
                <w:lang w:val="en-GB"/>
              </w:rPr>
            </w:pPr>
          </w:p>
        </w:tc>
        <w:tc>
          <w:tcPr>
            <w:tcW w:w="3402" w:type="dxa"/>
            <w:tcBorders>
              <w:left w:val="dashSmallGap" w:sz="4" w:space="0" w:color="auto"/>
              <w:right w:val="dashSmallGap" w:sz="4" w:space="0" w:color="auto"/>
            </w:tcBorders>
          </w:tcPr>
          <w:p w14:paraId="46F3E64B" w14:textId="77777777" w:rsidR="00417059" w:rsidRPr="00CB705F" w:rsidRDefault="00417059" w:rsidP="00EC7993">
            <w:pPr>
              <w:spacing w:before="40" w:after="40"/>
              <w:rPr>
                <w:lang w:val="en-GB"/>
              </w:rPr>
            </w:pPr>
          </w:p>
        </w:tc>
        <w:tc>
          <w:tcPr>
            <w:tcW w:w="2830" w:type="dxa"/>
            <w:tcBorders>
              <w:left w:val="dashSmallGap" w:sz="4" w:space="0" w:color="auto"/>
            </w:tcBorders>
          </w:tcPr>
          <w:p w14:paraId="15D6B7AC" w14:textId="77777777" w:rsidR="00417059" w:rsidRDefault="00417059" w:rsidP="00EC7993">
            <w:pPr>
              <w:spacing w:before="40" w:after="40"/>
              <w:rPr>
                <w:lang w:val="en-GB"/>
              </w:rPr>
            </w:pPr>
          </w:p>
        </w:tc>
      </w:tr>
      <w:tr w:rsidR="00417059" w:rsidRPr="00DC0E39" w14:paraId="608785B6" w14:textId="77777777" w:rsidTr="00DC0E39">
        <w:tc>
          <w:tcPr>
            <w:tcW w:w="2830" w:type="dxa"/>
            <w:tcBorders>
              <w:right w:val="dashSmallGap" w:sz="4" w:space="0" w:color="auto"/>
            </w:tcBorders>
          </w:tcPr>
          <w:p w14:paraId="1D671F4F" w14:textId="77777777" w:rsidR="00417059" w:rsidRDefault="00417059" w:rsidP="00EC7993">
            <w:pPr>
              <w:spacing w:before="40" w:after="40"/>
              <w:rPr>
                <w:lang w:val="en-GB"/>
              </w:rPr>
            </w:pPr>
          </w:p>
        </w:tc>
        <w:tc>
          <w:tcPr>
            <w:tcW w:w="3402" w:type="dxa"/>
            <w:tcBorders>
              <w:left w:val="dashSmallGap" w:sz="4" w:space="0" w:color="auto"/>
              <w:right w:val="dashSmallGap" w:sz="4" w:space="0" w:color="auto"/>
            </w:tcBorders>
          </w:tcPr>
          <w:p w14:paraId="1828DDF6" w14:textId="77777777" w:rsidR="00417059" w:rsidRPr="00CB705F" w:rsidRDefault="00417059" w:rsidP="00EC7993">
            <w:pPr>
              <w:spacing w:before="40" w:after="40"/>
              <w:rPr>
                <w:lang w:val="en-GB"/>
              </w:rPr>
            </w:pPr>
          </w:p>
        </w:tc>
        <w:tc>
          <w:tcPr>
            <w:tcW w:w="2830" w:type="dxa"/>
            <w:tcBorders>
              <w:left w:val="dashSmallGap" w:sz="4" w:space="0" w:color="auto"/>
            </w:tcBorders>
          </w:tcPr>
          <w:p w14:paraId="72D7EC0C" w14:textId="77777777" w:rsidR="00417059" w:rsidRDefault="00417059" w:rsidP="00EC7993">
            <w:pPr>
              <w:spacing w:before="40" w:after="40"/>
              <w:rPr>
                <w:lang w:val="en-GB"/>
              </w:rPr>
            </w:pPr>
          </w:p>
        </w:tc>
      </w:tr>
    </w:tbl>
    <w:p w14:paraId="5DFCCA4E" w14:textId="40C80429" w:rsidR="0027037A" w:rsidRDefault="0027037A" w:rsidP="0027037A">
      <w:pPr>
        <w:rPr>
          <w:lang w:val="en-GB"/>
        </w:rPr>
      </w:pPr>
    </w:p>
    <w:tbl>
      <w:tblPr>
        <w:tblStyle w:val="Tabellenraster"/>
        <w:tblW w:w="0" w:type="auto"/>
        <w:tblLook w:val="04A0" w:firstRow="1" w:lastRow="0" w:firstColumn="1" w:lastColumn="0" w:noHBand="0" w:noVBand="1"/>
      </w:tblPr>
      <w:tblGrid>
        <w:gridCol w:w="2263"/>
        <w:gridCol w:w="6799"/>
      </w:tblGrid>
      <w:tr w:rsidR="00CB705F" w:rsidRPr="00DC0E39" w14:paraId="20B744DE" w14:textId="77777777" w:rsidTr="00AD5D4F">
        <w:tc>
          <w:tcPr>
            <w:tcW w:w="9062" w:type="dxa"/>
            <w:gridSpan w:val="2"/>
            <w:shd w:val="clear" w:color="auto" w:fill="D9D9D9" w:themeFill="background1" w:themeFillShade="D9"/>
          </w:tcPr>
          <w:p w14:paraId="44CDA81D" w14:textId="78F07B01" w:rsidR="00CB705F" w:rsidRPr="00CB705F" w:rsidRDefault="00EC7993" w:rsidP="00EC7993">
            <w:pPr>
              <w:spacing w:before="40" w:after="40"/>
              <w:rPr>
                <w:b/>
                <w:caps/>
                <w:lang w:val="en-GB"/>
              </w:rPr>
            </w:pPr>
            <w:r w:rsidRPr="00EC7993">
              <w:rPr>
                <w:b/>
                <w:lang w:val="en-GB"/>
              </w:rPr>
              <w:t xml:space="preserve">Sealing of </w:t>
            </w:r>
            <w:r>
              <w:rPr>
                <w:b/>
                <w:lang w:val="en-GB"/>
              </w:rPr>
              <w:t>t</w:t>
            </w:r>
            <w:r w:rsidRPr="00EC7993">
              <w:rPr>
                <w:b/>
                <w:lang w:val="en-GB"/>
              </w:rPr>
              <w:t xml:space="preserve">hreshold </w:t>
            </w:r>
            <w:r>
              <w:rPr>
                <w:b/>
                <w:lang w:val="en-GB"/>
              </w:rPr>
              <w:t>a</w:t>
            </w:r>
            <w:r w:rsidRPr="00EC7993">
              <w:rPr>
                <w:b/>
                <w:lang w:val="en-GB"/>
              </w:rPr>
              <w:t>rea</w:t>
            </w:r>
            <w:r w:rsidR="00F2005C" w:rsidRPr="00CB705F">
              <w:rPr>
                <w:b/>
                <w:lang w:val="en-GB"/>
              </w:rPr>
              <w:t>:</w:t>
            </w:r>
            <w:r w:rsidR="00F2005C">
              <w:rPr>
                <w:b/>
                <w:lang w:val="en-GB"/>
              </w:rPr>
              <w:t xml:space="preserve"> </w:t>
            </w:r>
            <w:r w:rsidR="00CB705F">
              <w:rPr>
                <w:b/>
                <w:caps/>
                <w:lang w:val="en-GB"/>
              </w:rPr>
              <w:t>KEywords</w:t>
            </w:r>
          </w:p>
        </w:tc>
      </w:tr>
      <w:tr w:rsidR="00CB705F" w:rsidRPr="00DC0E39" w14:paraId="605ED13E" w14:textId="77777777" w:rsidTr="00260C10">
        <w:trPr>
          <w:trHeight w:val="613"/>
        </w:trPr>
        <w:tc>
          <w:tcPr>
            <w:tcW w:w="2263" w:type="dxa"/>
            <w:tcBorders>
              <w:right w:val="dashSmallGap" w:sz="4" w:space="0" w:color="auto"/>
            </w:tcBorders>
          </w:tcPr>
          <w:p w14:paraId="0A383BDE" w14:textId="2FF211AB" w:rsidR="00CB705F" w:rsidRPr="00CB705F" w:rsidRDefault="00A203A6" w:rsidP="003C4D82">
            <w:pPr>
              <w:spacing w:before="40" w:after="40"/>
              <w:rPr>
                <w:lang w:val="en-GB"/>
              </w:rPr>
            </w:pPr>
            <w:r>
              <w:rPr>
                <w:lang w:val="en-GB"/>
              </w:rPr>
              <w:t>Airtightness</w:t>
            </w:r>
          </w:p>
        </w:tc>
        <w:tc>
          <w:tcPr>
            <w:tcW w:w="6799" w:type="dxa"/>
            <w:tcBorders>
              <w:left w:val="dashSmallGap" w:sz="4" w:space="0" w:color="auto"/>
            </w:tcBorders>
          </w:tcPr>
          <w:p w14:paraId="5B0816C8" w14:textId="06A8F007" w:rsidR="00CB705F" w:rsidRPr="00CB705F" w:rsidRDefault="00A203A6" w:rsidP="00A203A6">
            <w:pPr>
              <w:spacing w:before="40" w:after="40"/>
              <w:rPr>
                <w:lang w:val="en-GB"/>
              </w:rPr>
            </w:pPr>
            <w:r w:rsidRPr="00A203A6">
              <w:rPr>
                <w:lang w:val="en-GB"/>
              </w:rPr>
              <w:t xml:space="preserve">Building </w:t>
            </w:r>
            <w:r>
              <w:rPr>
                <w:lang w:val="en-GB"/>
              </w:rPr>
              <w:t xml:space="preserve">resp. </w:t>
            </w:r>
            <w:r w:rsidRPr="00A203A6">
              <w:rPr>
                <w:lang w:val="en-GB"/>
              </w:rPr>
              <w:t>envelope airtightness</w:t>
            </w:r>
            <w:r>
              <w:rPr>
                <w:lang w:val="en-GB"/>
              </w:rPr>
              <w:t xml:space="preserve"> is </w:t>
            </w:r>
            <w:r w:rsidRPr="00A203A6">
              <w:rPr>
                <w:lang w:val="en-GB"/>
              </w:rPr>
              <w:t xml:space="preserve">the resistance to unintentional </w:t>
            </w:r>
            <w:r>
              <w:rPr>
                <w:lang w:val="en-GB"/>
              </w:rPr>
              <w:t>inward or outward air leakage</w:t>
            </w:r>
            <w:r w:rsidRPr="00A203A6">
              <w:rPr>
                <w:lang w:val="en-GB"/>
              </w:rPr>
              <w:t xml:space="preserve"> in the building envelope. This air leakage is driven by differential pressures across the building envelope due to the combined effects of stack, external wind and mechanical ventilation systems.</w:t>
            </w:r>
          </w:p>
        </w:tc>
      </w:tr>
      <w:tr w:rsidR="00260C10" w:rsidRPr="00DC0E39" w14:paraId="5FDE9CA9" w14:textId="77777777" w:rsidTr="00260C10">
        <w:trPr>
          <w:trHeight w:val="231"/>
        </w:trPr>
        <w:tc>
          <w:tcPr>
            <w:tcW w:w="2263" w:type="dxa"/>
            <w:tcBorders>
              <w:right w:val="dashSmallGap" w:sz="4" w:space="0" w:color="auto"/>
            </w:tcBorders>
          </w:tcPr>
          <w:p w14:paraId="6AC6002D" w14:textId="4308FDAF" w:rsidR="00260C10" w:rsidRDefault="00260C10" w:rsidP="00260C10">
            <w:pPr>
              <w:spacing w:before="40" w:after="40"/>
              <w:rPr>
                <w:lang w:val="en-GB"/>
              </w:rPr>
            </w:pPr>
          </w:p>
        </w:tc>
        <w:tc>
          <w:tcPr>
            <w:tcW w:w="6799" w:type="dxa"/>
            <w:tcBorders>
              <w:left w:val="dashSmallGap" w:sz="4" w:space="0" w:color="auto"/>
            </w:tcBorders>
          </w:tcPr>
          <w:p w14:paraId="4901A9DF" w14:textId="3718873D" w:rsidR="00260C10" w:rsidRPr="00260C10" w:rsidRDefault="00260C10" w:rsidP="00F21C05">
            <w:pPr>
              <w:spacing w:before="40" w:after="40"/>
              <w:rPr>
                <w:lang w:val="en-GB"/>
              </w:rPr>
            </w:pPr>
          </w:p>
        </w:tc>
      </w:tr>
      <w:tr w:rsidR="00260C10" w:rsidRPr="00DC0E39" w14:paraId="6B79BDE6" w14:textId="77777777" w:rsidTr="00260C10">
        <w:trPr>
          <w:trHeight w:val="231"/>
        </w:trPr>
        <w:tc>
          <w:tcPr>
            <w:tcW w:w="2263" w:type="dxa"/>
            <w:tcBorders>
              <w:right w:val="dashSmallGap" w:sz="4" w:space="0" w:color="auto"/>
            </w:tcBorders>
          </w:tcPr>
          <w:p w14:paraId="46C3325E" w14:textId="77777777" w:rsidR="00260C10" w:rsidRDefault="00260C10" w:rsidP="00260C10">
            <w:pPr>
              <w:spacing w:before="40" w:after="40"/>
              <w:rPr>
                <w:lang w:val="en-GB"/>
              </w:rPr>
            </w:pPr>
          </w:p>
        </w:tc>
        <w:tc>
          <w:tcPr>
            <w:tcW w:w="6799" w:type="dxa"/>
            <w:tcBorders>
              <w:left w:val="dashSmallGap" w:sz="4" w:space="0" w:color="auto"/>
              <w:bottom w:val="single" w:sz="4" w:space="0" w:color="auto"/>
            </w:tcBorders>
          </w:tcPr>
          <w:p w14:paraId="49701245" w14:textId="77777777" w:rsidR="00260C10" w:rsidRPr="00260C10" w:rsidRDefault="00260C10" w:rsidP="00260C10">
            <w:pPr>
              <w:spacing w:before="40" w:after="40"/>
              <w:rPr>
                <w:lang w:val="en-GB"/>
              </w:rPr>
            </w:pPr>
          </w:p>
        </w:tc>
      </w:tr>
    </w:tbl>
    <w:p w14:paraId="4362C1D2" w14:textId="244AABD9" w:rsidR="00EC7993" w:rsidRDefault="00EC7993" w:rsidP="006E7D14">
      <w:pPr>
        <w:tabs>
          <w:tab w:val="left" w:pos="3905"/>
        </w:tabs>
        <w:rPr>
          <w:b/>
          <w:lang w:val="en-GB"/>
        </w:rPr>
      </w:pPr>
    </w:p>
    <w:p w14:paraId="43F52960" w14:textId="107054E6" w:rsidR="00CB705F" w:rsidRPr="00EC7993" w:rsidRDefault="00CB705F" w:rsidP="00EC7993">
      <w:pPr>
        <w:tabs>
          <w:tab w:val="left" w:pos="3783"/>
        </w:tabs>
        <w:rPr>
          <w:lang w:val="en-GB"/>
        </w:rPr>
      </w:pPr>
    </w:p>
    <w:sectPr w:rsidR="00CB705F" w:rsidRPr="00EC7993"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734B2155" w:rsidR="007751AA" w:rsidRPr="007751AA" w:rsidRDefault="00EC7993" w:rsidP="00EC7993">
          <w:pPr>
            <w:pStyle w:val="Kopfzeile"/>
            <w:spacing w:line="320" w:lineRule="atLeast"/>
            <w:jc w:val="center"/>
            <w:rPr>
              <w:rFonts w:cs="Arial"/>
              <w:color w:val="9AA700"/>
              <w:sz w:val="18"/>
              <w:szCs w:val="18"/>
              <w:lang w:val="en-GB"/>
            </w:rPr>
          </w:pPr>
          <w:r w:rsidRPr="00EC7993">
            <w:rPr>
              <w:rFonts w:cs="Arial"/>
              <w:b/>
              <w:color w:val="9AA700"/>
              <w:sz w:val="18"/>
              <w:szCs w:val="18"/>
              <w:lang w:val="en-GB"/>
            </w:rPr>
            <w:t>Sealing of Threshold Area</w:t>
          </w:r>
          <w:r w:rsidR="007751AA">
            <w:rPr>
              <w:rFonts w:cs="Arial"/>
              <w:b/>
              <w:color w:val="9AA700"/>
              <w:sz w:val="18"/>
              <w:szCs w:val="18"/>
              <w:lang w:val="en-GB"/>
            </w:rPr>
            <w:br/>
            <w:t xml:space="preserve">ConClip </w:t>
          </w:r>
          <w:r>
            <w:rPr>
              <w:rFonts w:cs="Arial"/>
              <w:b/>
              <w:color w:val="9AA700"/>
              <w:sz w:val="18"/>
              <w:szCs w:val="18"/>
              <w:lang w:val="en-GB"/>
            </w:rPr>
            <w:t>6</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417059" w:rsidRPr="00417059">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766D6"/>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17059"/>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34076"/>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03A6"/>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6DD6"/>
    <w:rsid w:val="00CD7C62"/>
    <w:rsid w:val="00CE27E7"/>
    <w:rsid w:val="00CF555C"/>
    <w:rsid w:val="00D17E3F"/>
    <w:rsid w:val="00D2280A"/>
    <w:rsid w:val="00D237FC"/>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97494"/>
    <w:rsid w:val="00DA08B9"/>
    <w:rsid w:val="00DA2C7E"/>
    <w:rsid w:val="00DA4880"/>
    <w:rsid w:val="00DA4B7B"/>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993"/>
    <w:rsid w:val="00EC7C4D"/>
    <w:rsid w:val="00EC7EFE"/>
    <w:rsid w:val="00ED4809"/>
    <w:rsid w:val="00EF7D2C"/>
    <w:rsid w:val="00F11B7A"/>
    <w:rsid w:val="00F12AE0"/>
    <w:rsid w:val="00F2005C"/>
    <w:rsid w:val="00F21C05"/>
    <w:rsid w:val="00F40916"/>
    <w:rsid w:val="00F43901"/>
    <w:rsid w:val="00F43EDE"/>
    <w:rsid w:val="00F44E12"/>
    <w:rsid w:val="00F53035"/>
    <w:rsid w:val="00F62D13"/>
    <w:rsid w:val="00F71579"/>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7C3B04"/>
    <w:pPr>
      <w:spacing w:after="0" w:line="240" w:lineRule="auto"/>
    </w:pPr>
    <w:rPr>
      <w:rFonts w:ascii="Arial" w:hAnsi="Arial" w:cs="Times New Roman"/>
    </w:rPr>
  </w:style>
  <w:style w:type="character" w:customStyle="1" w:styleId="hps">
    <w:name w:val="hps"/>
    <w:basedOn w:val="Absatz-Standardschriftart"/>
    <w:rsid w:val="00DC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schemas.microsoft.com/office/infopath/2007/PartnerControls"/>
    <ds:schemaRef ds:uri="http://purl.org/dc/terms/"/>
    <ds:schemaRef ds:uri="http://purl.org/dc/elements/1.1/"/>
    <ds:schemaRef ds:uri="http://purl.org/dc/dcmitype/"/>
    <ds:schemaRef ds:uri="3794fc5f-2a20-40f8-9f77-45ca716b9ceb"/>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0B927DB-9879-4676-AB28-11145F2C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3</cp:revision>
  <cp:lastPrinted>2016-03-31T14:39:00Z</cp:lastPrinted>
  <dcterms:created xsi:type="dcterms:W3CDTF">2016-04-13T16:32:00Z</dcterms:created>
  <dcterms:modified xsi:type="dcterms:W3CDTF">2016-04-13T17:00:00Z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